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55" w:rsidRDefault="00B20955" w:rsidP="00B20955">
      <w:pPr>
        <w:kinsoku w:val="0"/>
        <w:overflowPunct w:val="0"/>
        <w:textAlignment w:val="baseline"/>
        <w:rPr>
          <w:rFonts w:eastAsiaTheme="minorEastAsia" w:hAnsi="Arial"/>
          <w:b/>
          <w:bCs/>
          <w:color w:val="FF0000"/>
          <w:sz w:val="20"/>
          <w:szCs w:val="20"/>
          <w:u w:val="single"/>
          <w:lang w:val="en-US"/>
        </w:rPr>
      </w:pPr>
    </w:p>
    <w:p w:rsidR="00B20955" w:rsidRPr="00B20955" w:rsidRDefault="00B20955" w:rsidP="00B20955">
      <w:pPr>
        <w:pStyle w:val="ListParagraph"/>
        <w:kinsoku w:val="0"/>
        <w:overflowPunct w:val="0"/>
        <w:textAlignment w:val="baseline"/>
        <w:rPr>
          <w:sz w:val="20"/>
        </w:rPr>
      </w:pPr>
    </w:p>
    <w:p w:rsidR="00B20955" w:rsidRPr="00B20955" w:rsidRDefault="001C20B3" w:rsidP="00B20955">
      <w:pPr>
        <w:kinsoku w:val="0"/>
        <w:overflowPunct w:val="0"/>
        <w:ind w:left="36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Quantum </w:t>
      </w:r>
      <w:r w:rsidR="00BF6601">
        <w:rPr>
          <w:rFonts w:ascii="Arial" w:hAnsi="Arial" w:cs="Arial"/>
          <w:sz w:val="20"/>
        </w:rPr>
        <w:t>Safe Rail System</w:t>
      </w:r>
      <w:r w:rsidR="00B20955" w:rsidRPr="00B20955">
        <w:rPr>
          <w:rFonts w:ascii="Arial" w:hAnsi="Arial" w:cs="Arial"/>
          <w:sz w:val="20"/>
        </w:rPr>
        <w:t xml:space="preserve"> NBS spec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:u w:val="single"/>
          <w:lang w:val="en-US"/>
        </w:rPr>
        <w:t>Specification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="Osaka"/>
          <w:b/>
          <w:bCs/>
          <w:sz w:val="20"/>
          <w:szCs w:val="20"/>
          <w:lang w:val="en-US"/>
        </w:rPr>
        <w:t>L30   STAIRS/ LADDERS/ WALKWAYS/ HANDRAILS/ BALUSTRADES</w:t>
      </w: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Manufacturer</w:t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  </w:t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M.R. Site Services Ltd, Unit 6, 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C14D20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Worcester Trading Estate, 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proofErr w:type="spellStart"/>
      <w:r w:rsidRPr="00B20955">
        <w:rPr>
          <w:rFonts w:asciiTheme="minorHAnsi" w:eastAsiaTheme="minorEastAsia" w:hAnsi="Arial" w:cstheme="minorBidi"/>
          <w:sz w:val="20"/>
          <w:szCs w:val="20"/>
        </w:rPr>
        <w:t>Blackpole</w:t>
      </w:r>
      <w:proofErr w:type="spellEnd"/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Road, </w:t>
      </w:r>
    </w:p>
    <w:p w:rsidR="00B20955" w:rsidRPr="00C14D20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Worcester. </w:t>
      </w:r>
      <w:r>
        <w:rPr>
          <w:rFonts w:asciiTheme="minorHAnsi" w:eastAsiaTheme="minorEastAsia" w:hAnsi="Arial" w:cstheme="minorBidi"/>
          <w:sz w:val="20"/>
          <w:szCs w:val="20"/>
        </w:rPr>
        <w:t>England</w:t>
      </w:r>
    </w:p>
    <w:p w:rsidR="00C14D20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United Kingdom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>WR3 8HR.</w:t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International Dialling code 0044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Tel.01905 755055  Fax.01905 755053  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E-mail: </w:t>
      </w:r>
      <w:hyperlink r:id="rId6" w:history="1">
        <w:r w:rsidRPr="00B20955">
          <w:rPr>
            <w:rStyle w:val="Hyperlink"/>
            <w:rFonts w:asciiTheme="minorHAnsi" w:eastAsiaTheme="minorEastAsia" w:hAnsi="Arial" w:cstheme="minorBidi"/>
            <w:color w:val="auto"/>
            <w:sz w:val="20"/>
            <w:szCs w:val="20"/>
          </w:rPr>
          <w:t>welding@mrsiteserivces.co.uk</w:t>
        </w:r>
      </w:hyperlink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  <w:r w:rsidRPr="00B20955">
        <w:rPr>
          <w:rFonts w:asciiTheme="minorHAnsi" w:eastAsiaTheme="minorEastAsia" w:hAnsi="Arial" w:cstheme="minorBidi"/>
          <w:sz w:val="20"/>
          <w:szCs w:val="20"/>
        </w:rPr>
        <w:br/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Internet: </w:t>
      </w:r>
      <w:hyperlink r:id="rId7" w:history="1">
        <w:r w:rsidRPr="00B20955">
          <w:rPr>
            <w:rStyle w:val="Hyperlink"/>
            <w:rFonts w:asciiTheme="minorHAnsi" w:eastAsiaTheme="minorEastAsia" w:hAnsi="Arial" w:cstheme="minorBidi"/>
            <w:color w:val="auto"/>
            <w:sz w:val="20"/>
            <w:szCs w:val="20"/>
          </w:rPr>
          <w:t>www.mrsiteservices.co.uk</w:t>
        </w:r>
      </w:hyperlink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Type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</w:t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Quantum Free Standing</w:t>
      </w:r>
      <w:r w:rsidR="00BF6601">
        <w:rPr>
          <w:rFonts w:asciiTheme="minorHAnsi" w:eastAsiaTheme="minorEastAsia" w:hAnsi="Arial" w:cstheme="minorBidi"/>
          <w:sz w:val="20"/>
          <w:szCs w:val="20"/>
        </w:rPr>
        <w:t>, counter balance, and fixed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 Systems  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  </w:t>
      </w:r>
      <w:r w:rsidR="00BF6601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Height</w:t>
      </w: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</w:t>
      </w:r>
      <w:r w:rsidR="00BF6601">
        <w:rPr>
          <w:rFonts w:asciiTheme="minorHAnsi" w:eastAsiaTheme="minorEastAsia" w:hAnsi="Arial" w:cstheme="minorBidi"/>
          <w:sz w:val="20"/>
          <w:szCs w:val="20"/>
        </w:rPr>
        <w:t>1100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mm standard</w:t>
      </w:r>
      <w:r w:rsidR="00BF6601">
        <w:rPr>
          <w:rFonts w:asciiTheme="minorHAnsi" w:eastAsiaTheme="minorEastAsia" w:hAnsi="Arial" w:cstheme="minorBidi"/>
          <w:sz w:val="20"/>
          <w:szCs w:val="20"/>
        </w:rPr>
        <w:t xml:space="preserve"> height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,</w:t>
      </w:r>
      <w:r w:rsidR="00BF6601">
        <w:rPr>
          <w:rFonts w:asciiTheme="minorHAnsi" w:eastAsiaTheme="minorEastAsia" w:hAnsi="Arial" w:cstheme="minorBidi"/>
          <w:sz w:val="20"/>
          <w:szCs w:val="20"/>
        </w:rPr>
        <w:t xml:space="preserve"> twin rail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 other sizes available on request.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Material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Mill finish Aluminium 6082 T6.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Fabrication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In accordance with BS EN ISO 9001</w:t>
      </w:r>
      <w:proofErr w:type="gramStart"/>
      <w:r w:rsidR="00B20955" w:rsidRPr="00B20955">
        <w:rPr>
          <w:rFonts w:asciiTheme="minorHAnsi" w:eastAsiaTheme="minorEastAsia" w:hAnsi="Arial" w:cstheme="minorBidi"/>
          <w:sz w:val="20"/>
          <w:szCs w:val="20"/>
        </w:rPr>
        <w:t>;2008</w:t>
      </w:r>
      <w:proofErr w:type="gramEnd"/>
      <w:r w:rsidR="00B20955" w:rsidRPr="00B20955">
        <w:rPr>
          <w:rFonts w:asciiTheme="minorHAnsi" w:eastAsiaTheme="minorEastAsia" w:hAnsi="Arial" w:cstheme="minorBidi"/>
          <w:sz w:val="20"/>
          <w:szCs w:val="20"/>
        </w:rPr>
        <w:t>.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Welding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  <w:r w:rsidRPr="00B20955">
        <w:rPr>
          <w:rFonts w:asciiTheme="minorHAnsi" w:eastAsiaTheme="minorEastAsia" w:hAnsi="Arial" w:cstheme="minorBidi"/>
          <w:sz w:val="20"/>
          <w:szCs w:val="20"/>
        </w:rPr>
        <w:tab/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In accordance with BS EN 287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-Compliance </w:t>
      </w:r>
    </w:p>
    <w:p w:rsidR="00BF6601" w:rsidRPr="00BF6601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</w:t>
      </w:r>
      <w:r w:rsidR="00B20955" w:rsidRPr="00B20955">
        <w:rPr>
          <w:rFonts w:asciiTheme="minorHAnsi" w:eastAsiaTheme="minorEastAsia" w:hAnsi="Arial" w:cs="Osaka"/>
          <w:sz w:val="20"/>
          <w:szCs w:val="20"/>
        </w:rPr>
        <w:t xml:space="preserve">In  accordance with British </w:t>
      </w:r>
      <w:r w:rsidR="00BF6601">
        <w:rPr>
          <w:rFonts w:asciiTheme="minorHAnsi" w:eastAsiaTheme="minorEastAsia" w:hAnsi="Arial" w:cs="Osaka"/>
          <w:sz w:val="20"/>
          <w:szCs w:val="20"/>
        </w:rPr>
        <w:t xml:space="preserve">and International </w:t>
      </w:r>
      <w:r w:rsidR="00B20955" w:rsidRPr="00B20955">
        <w:rPr>
          <w:rFonts w:asciiTheme="minorHAnsi" w:eastAsiaTheme="minorEastAsia" w:hAnsi="Arial" w:cs="Osaka"/>
          <w:sz w:val="20"/>
          <w:szCs w:val="20"/>
        </w:rPr>
        <w:t>standards</w:t>
      </w:r>
      <w:r w:rsidR="00BF6601">
        <w:rPr>
          <w:rFonts w:asciiTheme="minorHAnsi" w:eastAsiaTheme="minorEastAsia" w:hAnsi="Arial" w:cs="Osaka"/>
          <w:sz w:val="20"/>
          <w:szCs w:val="20"/>
        </w:rPr>
        <w:t>, BSEN 13374:2004, BS 6180:2011</w:t>
      </w:r>
      <w:r w:rsidR="00B20955" w:rsidRPr="00B20955">
        <w:rPr>
          <w:rFonts w:asciiTheme="minorHAnsi" w:eastAsiaTheme="minorEastAsia" w:hAnsi="Arial" w:cs="Osaka"/>
          <w:sz w:val="20"/>
          <w:szCs w:val="20"/>
        </w:rPr>
        <w:t xml:space="preserve"> </w:t>
      </w:r>
    </w:p>
    <w:p w:rsidR="00C14D20" w:rsidRPr="00BF6601" w:rsidRDefault="00B20955" w:rsidP="00BF6601">
      <w:pPr>
        <w:pStyle w:val="ListParagraph"/>
        <w:kinsoku w:val="0"/>
        <w:overflowPunct w:val="0"/>
        <w:textAlignment w:val="baseline"/>
        <w:rPr>
          <w:sz w:val="20"/>
        </w:rPr>
      </w:pPr>
      <w:bookmarkStart w:id="0" w:name="_GoBack"/>
      <w:bookmarkEnd w:id="0"/>
      <w:r w:rsidRPr="00BF6601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Usage</w:t>
      </w:r>
      <w:r w:rsidRPr="00BF6601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The Quantum </w:t>
      </w:r>
      <w:r w:rsidR="00B20955" w:rsidRPr="00B20955">
        <w:rPr>
          <w:rFonts w:asciiTheme="minorHAnsi" w:eastAsiaTheme="minorEastAsia" w:hAnsi="Arial" w:cs="Osaka"/>
          <w:sz w:val="20"/>
          <w:szCs w:val="20"/>
        </w:rPr>
        <w:t>Free Standing Handrail System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 is designed for roofing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  </w:t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  <w:proofErr w:type="gramStart"/>
      <w:r w:rsidRPr="00B20955">
        <w:rPr>
          <w:rFonts w:asciiTheme="minorHAnsi" w:eastAsiaTheme="minorEastAsia" w:hAnsi="Arial" w:cstheme="minorBidi"/>
          <w:sz w:val="20"/>
          <w:szCs w:val="20"/>
        </w:rPr>
        <w:t>systems</w:t>
      </w:r>
      <w:proofErr w:type="gramEnd"/>
      <w:r w:rsidRPr="00B20955">
        <w:rPr>
          <w:rFonts w:asciiTheme="minorHAnsi" w:eastAsiaTheme="minorEastAsia" w:hAnsi="Arial" w:cstheme="minorBidi"/>
          <w:sz w:val="20"/>
          <w:szCs w:val="20"/>
        </w:rPr>
        <w:t>, however, can be used in any situation.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- Weight example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 xml:space="preserve"> A section of standard 600mm x 2397mm walkway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 </w:t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proofErr w:type="gramStart"/>
      <w:r w:rsidRPr="00B20955">
        <w:rPr>
          <w:rFonts w:asciiTheme="minorHAnsi" w:eastAsiaTheme="minorEastAsia" w:hAnsi="Arial" w:cstheme="minorBidi"/>
          <w:sz w:val="20"/>
          <w:szCs w:val="20"/>
        </w:rPr>
        <w:t>with</w:t>
      </w:r>
      <w:proofErr w:type="gramEnd"/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no toe boards or handrails is approximately 19.2Kg (13.33kg/m2).             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Width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</w:p>
    <w:p w:rsidR="00B20955" w:rsidRPr="00B20955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Standard panel widths are 600mm, can be supplied in any width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</w:t>
      </w:r>
      <w:r w:rsidR="00C14D20">
        <w:rPr>
          <w:rFonts w:asciiTheme="minorHAnsi" w:eastAsiaTheme="minorEastAsia" w:hAnsi="Arial" w:cstheme="minorBidi"/>
          <w:sz w:val="20"/>
          <w:szCs w:val="20"/>
        </w:rPr>
        <w:t xml:space="preserve">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may need additional framework</w:t>
      </w:r>
    </w:p>
    <w:p w:rsidR="00C14D20" w:rsidRPr="00C14D20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Variations</w:t>
      </w:r>
      <w:r w:rsidRPr="00B20955">
        <w:rPr>
          <w:rFonts w:asciiTheme="minorHAnsi" w:eastAsiaTheme="minorEastAsia" w:hAnsi="Arial" w:cstheme="minorBidi"/>
          <w:b/>
          <w:bCs/>
          <w:sz w:val="20"/>
          <w:szCs w:val="20"/>
        </w:rPr>
        <w:t xml:space="preserve">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</w:p>
    <w:p w:rsidR="00BF6601" w:rsidRPr="00BF6601" w:rsidRDefault="00C14D20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 </w:t>
      </w:r>
      <w:r w:rsidR="00BF6601" w:rsidRPr="00B20955">
        <w:rPr>
          <w:rFonts w:asciiTheme="minorHAnsi" w:eastAsiaTheme="minorEastAsia" w:hAnsi="Arial" w:cstheme="minorBidi"/>
          <w:sz w:val="20"/>
          <w:szCs w:val="20"/>
        </w:rPr>
        <w:t>Quantum Free Standing</w:t>
      </w:r>
      <w:r w:rsidR="00BF6601">
        <w:rPr>
          <w:rFonts w:asciiTheme="minorHAnsi" w:eastAsiaTheme="minorEastAsia" w:hAnsi="Arial" w:cstheme="minorBidi"/>
          <w:sz w:val="20"/>
          <w:szCs w:val="20"/>
        </w:rPr>
        <w:t>, counter balance, and fixed</w:t>
      </w:r>
      <w:r w:rsidR="00BF6601" w:rsidRPr="00B20955">
        <w:rPr>
          <w:rFonts w:asciiTheme="minorHAnsi" w:eastAsiaTheme="minorEastAsia" w:hAnsi="Arial" w:cstheme="minorBidi"/>
          <w:sz w:val="20"/>
          <w:szCs w:val="20"/>
        </w:rPr>
        <w:t xml:space="preserve"> Systems </w:t>
      </w:r>
    </w:p>
    <w:p w:rsidR="00B20955" w:rsidRPr="00B20955" w:rsidRDefault="00BF6601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sz w:val="20"/>
          <w:szCs w:val="20"/>
        </w:rPr>
        <w:t xml:space="preserve">                   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sz w:val="20"/>
          <w:szCs w:val="20"/>
        </w:rPr>
        <w:t xml:space="preserve">can be offered in the </w:t>
      </w:r>
      <w:r w:rsidR="00B20955" w:rsidRPr="00B20955">
        <w:rPr>
          <w:rFonts w:asciiTheme="minorHAnsi" w:eastAsiaTheme="minorEastAsia" w:hAnsi="Arial" w:cstheme="minorBidi"/>
          <w:sz w:val="20"/>
          <w:szCs w:val="20"/>
        </w:rPr>
        <w:t>following formats;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      </w:t>
      </w:r>
      <w:r w:rsidR="00BF6601">
        <w:rPr>
          <w:rFonts w:asciiTheme="minorHAnsi" w:eastAsiaTheme="minorEastAsia" w:hAnsi="Arial" w:cstheme="minorBidi"/>
          <w:sz w:val="20"/>
          <w:szCs w:val="20"/>
        </w:rPr>
        <w:t>W</w:t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ith or without </w:t>
      </w:r>
      <w:proofErr w:type="spellStart"/>
      <w:r w:rsidRPr="00B20955">
        <w:rPr>
          <w:rFonts w:asciiTheme="minorHAnsi" w:eastAsiaTheme="minorEastAsia" w:hAnsi="Arial" w:cstheme="minorBidi"/>
          <w:sz w:val="20"/>
          <w:szCs w:val="20"/>
        </w:rPr>
        <w:t>toeboards</w:t>
      </w:r>
      <w:proofErr w:type="spellEnd"/>
      <w:r w:rsidRPr="00B20955">
        <w:rPr>
          <w:rFonts w:asciiTheme="minorHAnsi" w:eastAsiaTheme="minorEastAsia" w:hAnsi="Arial" w:cstheme="minorBidi"/>
          <w:sz w:val="20"/>
          <w:szCs w:val="20"/>
        </w:rPr>
        <w:t>.</w:t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      Transverse pitch adjusters &gt;3</w:t>
      </w:r>
      <w:r w:rsidRPr="00B20955">
        <w:rPr>
          <w:rFonts w:eastAsiaTheme="minorEastAsia" w:hAnsi="Symbol"/>
        </w:rPr>
        <w:sym w:font="Symbol" w:char="F0B0"/>
      </w: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&lt;10</w:t>
      </w:r>
      <w:r w:rsidRPr="00B20955">
        <w:rPr>
          <w:rFonts w:eastAsiaTheme="minorEastAsia" w:hAnsi="Symbol"/>
        </w:rPr>
        <w:sym w:font="Symbol" w:char="F0B0"/>
      </w:r>
    </w:p>
    <w:p w:rsidR="00B20955" w:rsidRPr="00B20955" w:rsidRDefault="00B20955" w:rsidP="00B20955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0"/>
        </w:rPr>
      </w:pPr>
      <w:r w:rsidRPr="00B20955">
        <w:rPr>
          <w:rFonts w:asciiTheme="minorHAnsi" w:eastAsiaTheme="minorEastAsia" w:hAnsi="Arial" w:cstheme="minorBidi"/>
          <w:sz w:val="20"/>
          <w:szCs w:val="20"/>
        </w:rPr>
        <w:t xml:space="preserve">                    Matching steps/ladders can be manufactured to order.</w:t>
      </w:r>
    </w:p>
    <w:p w:rsidR="00BC3FC6" w:rsidRDefault="00BC3FC6"/>
    <w:sectPr w:rsidR="00BC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0F"/>
    <w:multiLevelType w:val="hybridMultilevel"/>
    <w:tmpl w:val="24CCE7D6"/>
    <w:lvl w:ilvl="0" w:tplc="8AB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E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CF7111"/>
    <w:multiLevelType w:val="hybridMultilevel"/>
    <w:tmpl w:val="C354F83C"/>
    <w:lvl w:ilvl="0" w:tplc="B024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AA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A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A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C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A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E075BC"/>
    <w:multiLevelType w:val="hybridMultilevel"/>
    <w:tmpl w:val="0FF462CC"/>
    <w:lvl w:ilvl="0" w:tplc="C7F8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C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0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6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7"/>
    <w:rsid w:val="000857B7"/>
    <w:rsid w:val="000E5F1F"/>
    <w:rsid w:val="000F041B"/>
    <w:rsid w:val="001C20B3"/>
    <w:rsid w:val="002850DC"/>
    <w:rsid w:val="006256F2"/>
    <w:rsid w:val="00636108"/>
    <w:rsid w:val="00646552"/>
    <w:rsid w:val="00730358"/>
    <w:rsid w:val="00732676"/>
    <w:rsid w:val="009B15BF"/>
    <w:rsid w:val="00A1566D"/>
    <w:rsid w:val="00B20955"/>
    <w:rsid w:val="00BC3FC6"/>
    <w:rsid w:val="00BF6601"/>
    <w:rsid w:val="00C14D20"/>
    <w:rsid w:val="00C220F1"/>
    <w:rsid w:val="00C268EA"/>
    <w:rsid w:val="00C802FF"/>
    <w:rsid w:val="00CA79E0"/>
    <w:rsid w:val="00D455C3"/>
    <w:rsid w:val="00D95115"/>
    <w:rsid w:val="00DE6EF5"/>
    <w:rsid w:val="00EC0817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1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0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6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1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9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8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5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2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5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7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0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iteservi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ding@mrsiteserivc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Rowberry</dc:creator>
  <cp:lastModifiedBy>Melvyn Rowberry</cp:lastModifiedBy>
  <cp:revision>5</cp:revision>
  <cp:lastPrinted>2014-04-01T09:42:00Z</cp:lastPrinted>
  <dcterms:created xsi:type="dcterms:W3CDTF">2014-03-21T14:57:00Z</dcterms:created>
  <dcterms:modified xsi:type="dcterms:W3CDTF">2014-04-01T10:47:00Z</dcterms:modified>
</cp:coreProperties>
</file>